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numPr>
          <w:ilvl w:val="0"/>
          <w:numId w:val="1"/>
        </w:numPr>
        <w:ind w:left="0" w:firstLine="0" w:firstLineChars="0"/>
        <w:jc w:val="left"/>
      </w:pPr>
      <w:r>
        <w:rPr>
          <w:rFonts w:hint="eastAsia"/>
        </w:rPr>
        <w:t>概述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爱良田小程序是农药包装收退押金终端的手机版本, 是为了向销售网点提供更加方便快捷的操作服务而开发的版本, 主要功能有收押金、退押金、退货功能。</w:t>
      </w:r>
    </w:p>
    <w:p>
      <w:pPr>
        <w:pStyle w:val="3"/>
        <w:numPr>
          <w:ilvl w:val="0"/>
          <w:numId w:val="1"/>
        </w:numPr>
        <w:ind w:left="0" w:firstLine="0" w:firstLineChars="0"/>
        <w:jc w:val="left"/>
      </w:pPr>
      <w:r>
        <w:rPr>
          <w:rFonts w:hint="eastAsia"/>
        </w:rPr>
        <w:t>添加“爱良田”小程序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打开微信，界面向下滑动，如图1所示，搜索小程序，输入“爱良田”，如图2、3所示，查询到爱良田后，点击它，如图4所示：</w:t>
      </w:r>
    </w:p>
    <w:p>
      <w:pPr>
        <w:spacing w:before="156" w:beforeLines="50"/>
        <w:ind w:firstLine="0" w:firstLineChars="0"/>
        <w:jc w:val="center"/>
      </w:pPr>
      <w:r>
        <w:drawing>
          <wp:inline distT="0" distB="0" distL="0" distR="0">
            <wp:extent cx="1935480" cy="3959860"/>
            <wp:effectExtent l="0" t="0" r="762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584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drawing>
          <wp:inline distT="0" distB="0" distL="0" distR="0">
            <wp:extent cx="1918970" cy="3959860"/>
            <wp:effectExtent l="0" t="0" r="508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9181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(图1)</w:t>
      </w:r>
      <w:r>
        <w:t xml:space="preserve">                                    </w:t>
      </w:r>
      <w:r>
        <w:rPr>
          <w:rFonts w:hint="eastAsia"/>
        </w:rPr>
        <w:t>(图2)</w:t>
      </w:r>
    </w:p>
    <w:p>
      <w:pPr>
        <w:ind w:firstLine="0" w:firstLineChars="0"/>
        <w:jc w:val="center"/>
      </w:pPr>
      <w:r>
        <w:drawing>
          <wp:inline distT="0" distB="0" distL="0" distR="0">
            <wp:extent cx="1741170" cy="359981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133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drawing>
          <wp:inline distT="0" distB="0" distL="0" distR="0">
            <wp:extent cx="1790065" cy="3599815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06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(图3)</w:t>
      </w:r>
      <w:r>
        <w:t xml:space="preserve">                                  </w:t>
      </w:r>
      <w:r>
        <w:rPr>
          <w:rFonts w:hint="eastAsia"/>
        </w:rPr>
        <w:t>(图4)</w:t>
      </w:r>
    </w:p>
    <w:p>
      <w:pPr>
        <w:spacing w:before="156" w:beforeLines="50" w:after="156" w:afterLines="50"/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然后就进入了登录界面，如图5所示：</w:t>
      </w:r>
    </w:p>
    <w:p>
      <w:pPr>
        <w:ind w:firstLine="0" w:firstLineChars="0"/>
        <w:jc w:val="center"/>
      </w:pPr>
      <w:r>
        <w:drawing>
          <wp:inline distT="0" distB="0" distL="0" distR="0">
            <wp:extent cx="1756410" cy="359981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5684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(图5)</w:t>
      </w:r>
    </w:p>
    <w:p>
      <w:pPr>
        <w:pStyle w:val="3"/>
        <w:numPr>
          <w:ilvl w:val="0"/>
          <w:numId w:val="1"/>
        </w:numPr>
        <w:ind w:firstLine="0" w:firstLineChars="0"/>
      </w:pPr>
      <w:r>
        <w:rPr>
          <w:rFonts w:hint="eastAsia"/>
        </w:rPr>
        <w:t>登录</w:t>
      </w:r>
    </w:p>
    <w:p>
      <w:pPr>
        <w:pStyle w:val="4"/>
        <w:spacing w:line="415" w:lineRule="auto"/>
        <w:ind w:firstLine="0" w:firstLineChars="0"/>
      </w:pPr>
      <w:r>
        <w:rPr>
          <w:rFonts w:hint="eastAsia"/>
        </w:rPr>
        <w:t>方式1：输入账号密码登录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在登录页面，输入平台注册的销售网点的统一信用代码， 密码是统一信用代码的后八位，登录按钮高亮如图6、7所示， 点击【登录/注册】按钮,即可进入授权登录页面。</w:t>
      </w:r>
    </w:p>
    <w:p>
      <w:pPr>
        <w:ind w:firstLine="0" w:firstLineChars="0"/>
        <w:jc w:val="center"/>
      </w:pPr>
      <w:r>
        <w:drawing>
          <wp:inline distT="0" distB="0" distL="0" distR="0">
            <wp:extent cx="1703070" cy="3599815"/>
            <wp:effectExtent l="0" t="0" r="0" b="635"/>
            <wp:docPr id="7" name="图片 7" descr="C:\Users\ADMINI~1\AppData\Local\Temp\1588843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158884348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354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drawing>
          <wp:inline distT="0" distB="0" distL="0" distR="0">
            <wp:extent cx="1881505" cy="3599815"/>
            <wp:effectExtent l="0" t="0" r="444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169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(图6)</w:t>
      </w:r>
      <w:r>
        <w:t xml:space="preserve">                            </w:t>
      </w:r>
      <w:r>
        <w:rPr>
          <w:rFonts w:hint="eastAsia"/>
        </w:rPr>
        <w:t>(图7)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登录成功后，进入授权页面分别授权，如图8、9、10所示，授权成功后方可进入功能首页，如图11所示：</w:t>
      </w:r>
    </w:p>
    <w:p>
      <w:pPr>
        <w:ind w:firstLine="0" w:firstLineChars="0"/>
        <w:jc w:val="center"/>
      </w:pPr>
      <w:r>
        <w:drawing>
          <wp:inline distT="0" distB="0" distL="0" distR="0">
            <wp:extent cx="1750060" cy="35998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051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drawing>
          <wp:inline distT="0" distB="0" distL="0" distR="0">
            <wp:extent cx="1737995" cy="359981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3835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(图8)</w:t>
      </w:r>
      <w:r>
        <w:t xml:space="preserve">                        </w:t>
      </w:r>
      <w:r>
        <w:rPr>
          <w:rFonts w:hint="eastAsia"/>
        </w:rPr>
        <w:t>(图9)</w:t>
      </w:r>
    </w:p>
    <w:p>
      <w:pPr>
        <w:ind w:firstLine="0" w:firstLineChars="0"/>
        <w:jc w:val="center"/>
      </w:pPr>
      <w:r>
        <w:drawing>
          <wp:inline distT="0" distB="0" distL="0" distR="0">
            <wp:extent cx="1744345" cy="3599815"/>
            <wp:effectExtent l="0" t="0" r="825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4471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drawing>
          <wp:inline distT="0" distB="0" distL="0" distR="0">
            <wp:extent cx="1802765" cy="3599815"/>
            <wp:effectExtent l="0" t="0" r="698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315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0" w:firstLineChars="0"/>
        <w:jc w:val="center"/>
      </w:pPr>
      <w:r>
        <w:rPr>
          <w:rFonts w:hint="eastAsia"/>
        </w:rPr>
        <w:t>(图10)</w:t>
      </w:r>
      <w:r>
        <w:t xml:space="preserve">                         </w:t>
      </w:r>
      <w:r>
        <w:rPr>
          <w:rFonts w:hint="eastAsia"/>
        </w:rPr>
        <w:t>(图11)</w:t>
      </w:r>
    </w:p>
    <w:p>
      <w:pPr>
        <w:pStyle w:val="4"/>
        <w:spacing w:line="415" w:lineRule="auto"/>
        <w:ind w:firstLine="0" w:firstLineChars="0"/>
      </w:pPr>
      <w:r>
        <w:rPr>
          <w:rFonts w:hint="eastAsia"/>
        </w:rPr>
        <w:t>方式2：扫一扫登录</w:t>
      </w:r>
    </w:p>
    <w:p>
      <w:pPr>
        <w:spacing w:after="156" w:afterLines="50"/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通过扫描农药包装押金收退终端的个人二维码进行快捷登录。在登录页面，点击【扫一扫】按钮，扫描客户端二维码，如图12所示：</w:t>
      </w:r>
    </w:p>
    <w:p>
      <w:pPr>
        <w:ind w:firstLine="0" w:firstLineChars="0"/>
        <w:jc w:val="center"/>
      </w:pPr>
      <w:r>
        <w:drawing>
          <wp:inline distT="0" distB="0" distL="0" distR="0">
            <wp:extent cx="1762760" cy="3599815"/>
            <wp:effectExtent l="0" t="0" r="889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6288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0" w:firstLineChars="0"/>
        <w:jc w:val="center"/>
      </w:pPr>
      <w:r>
        <w:rPr>
          <w:rFonts w:hint="eastAsia"/>
        </w:rPr>
        <w:t>(图12)</w:t>
      </w:r>
    </w:p>
    <w:p>
      <w:pPr>
        <w:spacing w:after="156" w:afterLines="50"/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打开农药包装押金收退终端，点击右上角二维码图标，如图13、14所示：</w:t>
      </w:r>
    </w:p>
    <w:p>
      <w:pPr>
        <w:ind w:firstLine="0" w:firstLineChars="0"/>
        <w:jc w:val="center"/>
      </w:pPr>
      <w:r>
        <w:drawing>
          <wp:inline distT="0" distB="0" distL="0" distR="0">
            <wp:extent cx="4761230" cy="2519680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140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0" w:firstLineChars="0"/>
        <w:jc w:val="center"/>
      </w:pPr>
      <w:r>
        <w:rPr>
          <w:rFonts w:hint="eastAsia"/>
        </w:rPr>
        <w:t>(图13)</w:t>
      </w:r>
    </w:p>
    <w:p>
      <w:pPr>
        <w:ind w:firstLine="0" w:firstLineChars="0"/>
        <w:jc w:val="center"/>
      </w:pPr>
      <w:r>
        <w:drawing>
          <wp:inline distT="0" distB="0" distL="0" distR="0">
            <wp:extent cx="4713605" cy="251968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1421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0" w:firstLineChars="0"/>
        <w:jc w:val="center"/>
      </w:pPr>
      <w:r>
        <w:rPr>
          <w:rFonts w:hint="eastAsia"/>
        </w:rPr>
        <w:t>(图14)</w:t>
      </w:r>
    </w:p>
    <w:p>
      <w:pPr>
        <w:spacing w:after="156" w:afterLines="50"/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扫描成功后，进入授权登录页面分别授权，如图15、16、17所示， 授权成功后方可进入功能首页，如图18所示：</w:t>
      </w:r>
    </w:p>
    <w:p>
      <w:pPr>
        <w:ind w:firstLine="0" w:firstLineChars="0"/>
        <w:jc w:val="center"/>
      </w:pPr>
      <w:r>
        <w:drawing>
          <wp:inline distT="0" distB="0" distL="0" distR="0">
            <wp:extent cx="1750060" cy="3599815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051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drawing>
          <wp:inline distT="0" distB="0" distL="0" distR="0">
            <wp:extent cx="1737995" cy="3599815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3835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0" w:firstLineChars="0"/>
        <w:jc w:val="center"/>
      </w:pPr>
      <w:r>
        <w:rPr>
          <w:rFonts w:hint="eastAsia"/>
        </w:rPr>
        <w:t>(图15)</w:t>
      </w:r>
      <w:r>
        <w:t xml:space="preserve">                                   </w:t>
      </w:r>
      <w:r>
        <w:rPr>
          <w:rFonts w:hint="eastAsia"/>
        </w:rPr>
        <w:t>(图16)</w:t>
      </w:r>
    </w:p>
    <w:p>
      <w:pPr>
        <w:ind w:firstLine="0" w:firstLineChars="0"/>
        <w:jc w:val="center"/>
      </w:pPr>
      <w:r>
        <w:drawing>
          <wp:inline distT="0" distB="0" distL="0" distR="0">
            <wp:extent cx="1569720" cy="323977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7024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drawing>
          <wp:inline distT="0" distB="0" distL="0" distR="0">
            <wp:extent cx="1622425" cy="323977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283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(图17)</w:t>
      </w:r>
      <w:r>
        <w:t xml:space="preserve">                                 </w:t>
      </w:r>
      <w:r>
        <w:rPr>
          <w:rFonts w:hint="eastAsia"/>
        </w:rPr>
        <w:t>(图18)</w:t>
      </w:r>
    </w:p>
    <w:p>
      <w:pPr>
        <w:pStyle w:val="3"/>
        <w:numPr>
          <w:ilvl w:val="0"/>
          <w:numId w:val="1"/>
        </w:numPr>
        <w:ind w:firstLine="0" w:firstLineChars="0"/>
      </w:pPr>
      <w:r>
        <w:rPr>
          <w:rFonts w:hint="eastAsia"/>
        </w:rPr>
        <w:t>再次使用“爱良田”小程序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打开微信，界面向下滑动，如图19、20所示，找到“爱良田”小程序图标后，点击它，进入登录页面：</w:t>
      </w:r>
    </w:p>
    <w:p>
      <w:pPr>
        <w:ind w:firstLine="0" w:firstLineChars="0"/>
        <w:jc w:val="center"/>
      </w:pPr>
      <w:r>
        <w:drawing>
          <wp:inline distT="0" distB="0" distL="0" distR="0">
            <wp:extent cx="1583690" cy="323977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387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drawing>
          <wp:inline distT="0" distB="0" distL="0" distR="0">
            <wp:extent cx="1556385" cy="3239770"/>
            <wp:effectExtent l="0" t="0" r="571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5652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(图19)</w:t>
      </w:r>
      <w:r>
        <w:t xml:space="preserve">                             </w:t>
      </w:r>
      <w:r>
        <w:rPr>
          <w:rFonts w:hint="eastAsia"/>
        </w:rPr>
        <w:t>(图20)</w:t>
      </w:r>
    </w:p>
    <w:p>
      <w:pPr>
        <w:pStyle w:val="3"/>
        <w:numPr>
          <w:ilvl w:val="0"/>
          <w:numId w:val="1"/>
        </w:numPr>
        <w:ind w:firstLine="0" w:firstLineChars="0"/>
      </w:pPr>
      <w:r>
        <w:rPr>
          <w:rFonts w:hint="eastAsia"/>
        </w:rPr>
        <w:t>收押金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在首页，点击【收押金】按钮，进入扫一扫页面。第一次使用时会弹出授权页面，如图22所示，点击“允许</w:t>
      </w:r>
      <w:r>
        <w:rPr>
          <w:sz w:val="32"/>
          <w:szCs w:val="32"/>
        </w:rPr>
        <w:t>”</w:t>
      </w:r>
      <w:r>
        <w:rPr>
          <w:rFonts w:hint="eastAsia"/>
          <w:sz w:val="32"/>
          <w:szCs w:val="32"/>
        </w:rPr>
        <w:t>， 进入扫一扫页面。</w:t>
      </w:r>
    </w:p>
    <w:p>
      <w:pPr>
        <w:ind w:firstLine="0" w:firstLineChars="0"/>
        <w:jc w:val="center"/>
      </w:pPr>
      <w:r>
        <w:drawing>
          <wp:inline distT="0" distB="0" distL="0" distR="0">
            <wp:extent cx="1404620" cy="2879725"/>
            <wp:effectExtent l="0" t="0" r="508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0524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0" distR="0">
            <wp:extent cx="1397635" cy="28797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980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0" distR="0">
            <wp:extent cx="1432560" cy="28797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3256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(图21)</w:t>
      </w:r>
      <w:r>
        <w:t xml:space="preserve">                    </w:t>
      </w:r>
      <w:r>
        <w:rPr>
          <w:rFonts w:hint="eastAsia"/>
        </w:rPr>
        <w:t>(图22)</w:t>
      </w:r>
      <w:r>
        <w:t xml:space="preserve">                    </w:t>
      </w:r>
      <w:r>
        <w:rPr>
          <w:rFonts w:hint="eastAsia"/>
        </w:rPr>
        <w:t>(图23)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将摄像头对准农药包装二维码进行扫描，页面会显示扫描到的包装个数及应收取的押金，点击【收押金】按钮，会提示收取押金成功，如图23所示。</w:t>
      </w:r>
    </w:p>
    <w:p>
      <w:pPr>
        <w:ind w:firstLine="0" w:firstLineChars="0"/>
        <w:jc w:val="center"/>
      </w:pPr>
      <w:r>
        <w:drawing>
          <wp:inline distT="0" distB="0" distL="0" distR="0">
            <wp:extent cx="1404620" cy="2879725"/>
            <wp:effectExtent l="0" t="0" r="508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0512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drawing>
          <wp:inline distT="0" distB="0" distL="0" distR="0">
            <wp:extent cx="1378585" cy="287972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7908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ind w:firstLine="0" w:firstLineChars="0"/>
        <w:jc w:val="center"/>
      </w:pPr>
      <w:r>
        <w:rPr>
          <w:rFonts w:hint="eastAsia"/>
        </w:rPr>
        <w:t>(图24)</w:t>
      </w:r>
      <w:r>
        <w:t xml:space="preserve">                           </w:t>
      </w:r>
      <w:r>
        <w:rPr>
          <w:rFonts w:hint="eastAsia"/>
        </w:rPr>
        <w:t>(图25)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在扫描包装二维码过程中，可以点击购物车图标，可以查看详细的农药信息，如图24、25所示：</w:t>
      </w:r>
    </w:p>
    <w:p>
      <w:pPr>
        <w:pStyle w:val="3"/>
        <w:numPr>
          <w:ilvl w:val="0"/>
          <w:numId w:val="1"/>
        </w:numPr>
        <w:ind w:firstLine="0" w:firstLineChars="0"/>
      </w:pPr>
      <w:r>
        <w:rPr>
          <w:rFonts w:hint="eastAsia"/>
        </w:rPr>
        <w:t>退押金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在首页，点击【退押金】按钮，进入扫一扫页面，扫描农民朋友拿回来的包装上的二维码，页面会显示扫描到的包装个数和应退回的押金，点击【退押金】按钮，会提示退押金成功：</w:t>
      </w:r>
    </w:p>
    <w:p>
      <w:pPr>
        <w:ind w:firstLine="0" w:firstLineChars="0"/>
        <w:jc w:val="center"/>
      </w:pPr>
      <w:r>
        <w:drawing>
          <wp:inline distT="0" distB="0" distL="0" distR="0">
            <wp:extent cx="1475105" cy="3059430"/>
            <wp:effectExtent l="0" t="0" r="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75633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drawing>
          <wp:inline distT="0" distB="0" distL="0" distR="0">
            <wp:extent cx="1811020" cy="3059430"/>
            <wp:effectExtent l="0" t="0" r="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(图26)</w:t>
      </w:r>
      <w:r>
        <w:t xml:space="preserve">                                 </w:t>
      </w:r>
      <w:r>
        <w:rPr>
          <w:rFonts w:hint="eastAsia"/>
        </w:rPr>
        <w:t>(图27)</w:t>
      </w:r>
    </w:p>
    <w:p>
      <w:pPr>
        <w:ind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注意：退押金条件需要满足销售1小时后才可以退押金，如图27所示。</w:t>
      </w:r>
    </w:p>
    <w:p>
      <w:pPr>
        <w:pStyle w:val="3"/>
        <w:numPr>
          <w:ilvl w:val="0"/>
          <w:numId w:val="1"/>
        </w:numPr>
        <w:ind w:firstLine="0" w:firstLineChars="0"/>
      </w:pPr>
      <w:r>
        <w:rPr>
          <w:rFonts w:hint="eastAsia"/>
          <w:lang w:val="en-US" w:eastAsia="zh-CN"/>
        </w:rPr>
        <w:t>库存</w:t>
      </w:r>
    </w:p>
    <w:p>
      <w:r>
        <w:drawing>
          <wp:inline distT="0" distB="0" distL="114300" distR="114300">
            <wp:extent cx="3067050" cy="6057900"/>
            <wp:effectExtent l="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Theme="minorHAnsi" w:hAnsiTheme="minorHAnsi" w:eastAsiaTheme="minorEastAsia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32"/>
          <w:szCs w:val="32"/>
          <w:lang w:val="en-US" w:eastAsia="zh-CN" w:bidi="ar-SA"/>
        </w:rPr>
        <w:t>选择扫码入库或者扫码出库，扫描农药包装二维码按照提示进行出入库操作</w:t>
      </w:r>
      <w:r>
        <w:rPr>
          <w:rFonts w:hint="eastAsia" w:cstheme="minorBidi"/>
          <w:kern w:val="2"/>
          <w:sz w:val="32"/>
          <w:szCs w:val="32"/>
          <w:lang w:val="en-US" w:eastAsia="zh-CN" w:bidi="ar-SA"/>
        </w:rPr>
        <w:t>。</w:t>
      </w:r>
      <w:bookmarkStart w:id="0" w:name="_GoBack"/>
      <w:bookmarkEnd w:id="0"/>
    </w:p>
    <w:p/>
    <w:p>
      <w:pPr>
        <w:pStyle w:val="2"/>
      </w:pPr>
    </w:p>
    <w:p>
      <w:pPr>
        <w:pStyle w:val="3"/>
        <w:numPr>
          <w:ilvl w:val="0"/>
          <w:numId w:val="1"/>
        </w:numPr>
        <w:ind w:firstLine="0" w:firstLineChars="0"/>
      </w:pPr>
      <w:r>
        <w:rPr>
          <w:rFonts w:hint="eastAsia"/>
        </w:rPr>
        <w:t>退货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在首页，点击【退货】按钮，进入扫一扫页面，扫描农民朋友拿回来的农药包装上的二维码，页面会显示扫描到的包装个数和应退回的押金，点击【退货】按钮，会提示退货成功：</w:t>
      </w:r>
    </w:p>
    <w:p>
      <w:pPr>
        <w:ind w:firstLine="0" w:firstLineChars="0"/>
        <w:jc w:val="center"/>
      </w:pPr>
      <w:r>
        <w:drawing>
          <wp:inline distT="0" distB="0" distL="0" distR="0">
            <wp:extent cx="1591945" cy="3239770"/>
            <wp:effectExtent l="0" t="0" r="825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9235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(图28)</w:t>
      </w:r>
    </w:p>
    <w:p>
      <w:pPr>
        <w:pStyle w:val="3"/>
        <w:numPr>
          <w:ilvl w:val="0"/>
          <w:numId w:val="1"/>
        </w:numPr>
        <w:ind w:firstLine="0" w:firstLineChars="0"/>
      </w:pPr>
      <w:r>
        <w:rPr>
          <w:rFonts w:hint="eastAsia"/>
        </w:rPr>
        <w:t>查看企业信息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点击首页右侧销售店铺图标，进入企业信息页面，展示农资店铺的基础信息，如图29、30所示：</w:t>
      </w:r>
    </w:p>
    <w:p>
      <w:pPr>
        <w:ind w:firstLine="0" w:firstLineChars="0"/>
        <w:jc w:val="center"/>
      </w:pPr>
      <w:r>
        <w:drawing>
          <wp:inline distT="0" distB="0" distL="0" distR="0">
            <wp:extent cx="1564640" cy="32397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6471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drawing>
          <wp:inline distT="0" distB="0" distL="0" distR="0">
            <wp:extent cx="1570355" cy="323977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7074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t xml:space="preserve">    </w:t>
      </w:r>
      <w:r>
        <w:rPr>
          <w:rFonts w:hint="eastAsia"/>
        </w:rPr>
        <w:t>(图29)</w:t>
      </w:r>
      <w:r>
        <w:t xml:space="preserve">                           </w:t>
      </w:r>
      <w:r>
        <w:rPr>
          <w:rFonts w:hint="eastAsia"/>
        </w:rPr>
        <w:t>(图30</w:t>
      </w:r>
      <w:r>
        <w:t xml:space="preserve"> </w:t>
      </w:r>
      <w:r>
        <w:rPr>
          <w:rFonts w:hint="eastAsia"/>
        </w:rPr>
        <w:t>企业信息)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  <w:jc w:val="both"/>
    </w:pPr>
    <w:r>
      <w:rPr>
        <w:rFonts w:hint="eastAsia"/>
        <w:b/>
      </w:rPr>
      <w:t>盈创高科爱良田V3.0.6.8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1F1320"/>
    <w:multiLevelType w:val="multilevel"/>
    <w:tmpl w:val="571F1320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539"/>
    <w:rsid w:val="00013C8B"/>
    <w:rsid w:val="000A707B"/>
    <w:rsid w:val="000C77D7"/>
    <w:rsid w:val="000F696B"/>
    <w:rsid w:val="00114125"/>
    <w:rsid w:val="001269F4"/>
    <w:rsid w:val="00141DD6"/>
    <w:rsid w:val="00150BB1"/>
    <w:rsid w:val="001542D7"/>
    <w:rsid w:val="001B5FA7"/>
    <w:rsid w:val="001C11C7"/>
    <w:rsid w:val="001F0C0B"/>
    <w:rsid w:val="00200648"/>
    <w:rsid w:val="002014C4"/>
    <w:rsid w:val="002445B3"/>
    <w:rsid w:val="002835F9"/>
    <w:rsid w:val="002C0CC4"/>
    <w:rsid w:val="002C76C7"/>
    <w:rsid w:val="002F2C9F"/>
    <w:rsid w:val="002F59FF"/>
    <w:rsid w:val="00321B35"/>
    <w:rsid w:val="00343F2A"/>
    <w:rsid w:val="00353C08"/>
    <w:rsid w:val="00360BA1"/>
    <w:rsid w:val="00364BED"/>
    <w:rsid w:val="00383F49"/>
    <w:rsid w:val="003B1790"/>
    <w:rsid w:val="00414E4C"/>
    <w:rsid w:val="00443DE8"/>
    <w:rsid w:val="00447E7C"/>
    <w:rsid w:val="0045247B"/>
    <w:rsid w:val="00463E2D"/>
    <w:rsid w:val="00470BF9"/>
    <w:rsid w:val="00473844"/>
    <w:rsid w:val="00486993"/>
    <w:rsid w:val="004C140D"/>
    <w:rsid w:val="004D67CC"/>
    <w:rsid w:val="004E702E"/>
    <w:rsid w:val="004F6A8A"/>
    <w:rsid w:val="0050548E"/>
    <w:rsid w:val="00525020"/>
    <w:rsid w:val="00531AE7"/>
    <w:rsid w:val="00551CE4"/>
    <w:rsid w:val="005634F3"/>
    <w:rsid w:val="00572AF8"/>
    <w:rsid w:val="005751F5"/>
    <w:rsid w:val="00593EE8"/>
    <w:rsid w:val="00596511"/>
    <w:rsid w:val="005B1FC1"/>
    <w:rsid w:val="005D30BE"/>
    <w:rsid w:val="005D63AE"/>
    <w:rsid w:val="005E0199"/>
    <w:rsid w:val="005E02CA"/>
    <w:rsid w:val="00603900"/>
    <w:rsid w:val="00607555"/>
    <w:rsid w:val="00693936"/>
    <w:rsid w:val="006A6B7C"/>
    <w:rsid w:val="006A74B2"/>
    <w:rsid w:val="0075263A"/>
    <w:rsid w:val="00753558"/>
    <w:rsid w:val="00770224"/>
    <w:rsid w:val="0079244D"/>
    <w:rsid w:val="007A2FB3"/>
    <w:rsid w:val="007B043D"/>
    <w:rsid w:val="007E64CC"/>
    <w:rsid w:val="00806B27"/>
    <w:rsid w:val="008230CE"/>
    <w:rsid w:val="00842C14"/>
    <w:rsid w:val="008A2CB3"/>
    <w:rsid w:val="008F6C67"/>
    <w:rsid w:val="009233DB"/>
    <w:rsid w:val="009260EB"/>
    <w:rsid w:val="00931BC7"/>
    <w:rsid w:val="00940619"/>
    <w:rsid w:val="00966B35"/>
    <w:rsid w:val="00980B0A"/>
    <w:rsid w:val="009C1C68"/>
    <w:rsid w:val="009C4A01"/>
    <w:rsid w:val="009D4E6F"/>
    <w:rsid w:val="009E2747"/>
    <w:rsid w:val="00A12AEC"/>
    <w:rsid w:val="00A2051E"/>
    <w:rsid w:val="00A7302C"/>
    <w:rsid w:val="00A96C2D"/>
    <w:rsid w:val="00AA0BA0"/>
    <w:rsid w:val="00AE3686"/>
    <w:rsid w:val="00B47567"/>
    <w:rsid w:val="00B500A8"/>
    <w:rsid w:val="00B6358C"/>
    <w:rsid w:val="00B67445"/>
    <w:rsid w:val="00B7202F"/>
    <w:rsid w:val="00B82EFE"/>
    <w:rsid w:val="00B94801"/>
    <w:rsid w:val="00BF04A7"/>
    <w:rsid w:val="00C01F5E"/>
    <w:rsid w:val="00C33FE5"/>
    <w:rsid w:val="00C50729"/>
    <w:rsid w:val="00C658B4"/>
    <w:rsid w:val="00C70B52"/>
    <w:rsid w:val="00C76534"/>
    <w:rsid w:val="00C91539"/>
    <w:rsid w:val="00CA3CE3"/>
    <w:rsid w:val="00CB0279"/>
    <w:rsid w:val="00CC7578"/>
    <w:rsid w:val="00CD43C5"/>
    <w:rsid w:val="00D21969"/>
    <w:rsid w:val="00D21D0B"/>
    <w:rsid w:val="00D43343"/>
    <w:rsid w:val="00D7630D"/>
    <w:rsid w:val="00D84609"/>
    <w:rsid w:val="00D8684A"/>
    <w:rsid w:val="00DA09E5"/>
    <w:rsid w:val="00DA199F"/>
    <w:rsid w:val="00DB2892"/>
    <w:rsid w:val="00DD7C21"/>
    <w:rsid w:val="00DE6B64"/>
    <w:rsid w:val="00DF4340"/>
    <w:rsid w:val="00E015C2"/>
    <w:rsid w:val="00E0212E"/>
    <w:rsid w:val="00E046D6"/>
    <w:rsid w:val="00E12162"/>
    <w:rsid w:val="00E15D39"/>
    <w:rsid w:val="00E4594F"/>
    <w:rsid w:val="00E54C6E"/>
    <w:rsid w:val="00E83EFE"/>
    <w:rsid w:val="00EE625B"/>
    <w:rsid w:val="00F10D13"/>
    <w:rsid w:val="00F131AE"/>
    <w:rsid w:val="00F40F19"/>
    <w:rsid w:val="00F77F65"/>
    <w:rsid w:val="00F83153"/>
    <w:rsid w:val="00F94E01"/>
    <w:rsid w:val="00FA177B"/>
    <w:rsid w:val="00FB6D6B"/>
    <w:rsid w:val="00FC54D7"/>
    <w:rsid w:val="00FC588A"/>
    <w:rsid w:val="00FC5B1A"/>
    <w:rsid w:val="00FE3F27"/>
    <w:rsid w:val="00FE5E13"/>
    <w:rsid w:val="00FF581E"/>
    <w:rsid w:val="033862B3"/>
    <w:rsid w:val="04C34B71"/>
    <w:rsid w:val="0B7B769D"/>
    <w:rsid w:val="0E4C58B9"/>
    <w:rsid w:val="122160B0"/>
    <w:rsid w:val="17CE20A9"/>
    <w:rsid w:val="1A1F0D57"/>
    <w:rsid w:val="1F0110B1"/>
    <w:rsid w:val="23FD535D"/>
    <w:rsid w:val="27A26A8C"/>
    <w:rsid w:val="2AA27DDC"/>
    <w:rsid w:val="37DC7283"/>
    <w:rsid w:val="37F07535"/>
    <w:rsid w:val="3A13049F"/>
    <w:rsid w:val="4AA5409F"/>
    <w:rsid w:val="51A173E3"/>
    <w:rsid w:val="541D2599"/>
    <w:rsid w:val="547512D5"/>
    <w:rsid w:val="56D21686"/>
    <w:rsid w:val="5C594B03"/>
    <w:rsid w:val="67914BD2"/>
    <w:rsid w:val="6AA6720E"/>
    <w:rsid w:val="76DA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uiPriority w:val="99"/>
    <w:pPr>
      <w:spacing w:after="120" w:afterLines="0" w:afterAutospacing="0"/>
    </w:pPr>
  </w:style>
  <w:style w:type="paragraph" w:styleId="6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7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1">
    <w:name w:val="页眉 Char"/>
    <w:basedOn w:val="10"/>
    <w:link w:val="8"/>
    <w:uiPriority w:val="99"/>
    <w:rPr>
      <w:sz w:val="18"/>
      <w:szCs w:val="18"/>
    </w:rPr>
  </w:style>
  <w:style w:type="character" w:customStyle="1" w:styleId="12">
    <w:name w:val="页脚 Char"/>
    <w:basedOn w:val="10"/>
    <w:link w:val="7"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/>
    </w:pPr>
  </w:style>
  <w:style w:type="character" w:customStyle="1" w:styleId="14">
    <w:name w:val="标题 1 Char"/>
    <w:basedOn w:val="10"/>
    <w:link w:val="3"/>
    <w:qFormat/>
    <w:uiPriority w:val="9"/>
    <w:rPr>
      <w:b/>
      <w:bCs/>
      <w:kern w:val="44"/>
      <w:sz w:val="44"/>
      <w:szCs w:val="44"/>
    </w:rPr>
  </w:style>
  <w:style w:type="character" w:customStyle="1" w:styleId="15">
    <w:name w:val="标题 2 Char"/>
    <w:basedOn w:val="10"/>
    <w:link w:val="4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Char"/>
    <w:basedOn w:val="10"/>
    <w:link w:val="5"/>
    <w:uiPriority w:val="9"/>
    <w:rPr>
      <w:b/>
      <w:bCs/>
      <w:sz w:val="32"/>
      <w:szCs w:val="32"/>
    </w:rPr>
  </w:style>
  <w:style w:type="paragraph" w:styleId="17">
    <w:name w:val="No Spacing"/>
    <w:qFormat/>
    <w:uiPriority w:val="1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EA4018-826A-46E0-914E-4AF7CB57C5F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11</Pages>
  <Words>247</Words>
  <Characters>1413</Characters>
  <Lines>11</Lines>
  <Paragraphs>3</Paragraphs>
  <TotalTime>3</TotalTime>
  <ScaleCrop>false</ScaleCrop>
  <LinksUpToDate>false</LinksUpToDate>
  <CharactersWithSpaces>1657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2020-05-07T08:19:00Z</dcterms:created>
  <dc:creator>incom</dc:creator>
  <cp:lastModifiedBy>之乎者也</cp:lastModifiedBy>
  <cp:lastPrinted>2020-05-08T09:08:00Z</cp:lastPrinted>
  <dcterms:modified xsi:type="dcterms:W3CDTF">2020-10-26T16:47:42Z</dcterms:modified>
  <cp:revision>95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